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FE85" w14:textId="77777777" w:rsidR="004B7050" w:rsidRDefault="004B7050" w:rsidP="00291D49">
      <w:pPr>
        <w:rPr>
          <w:sz w:val="22"/>
          <w:szCs w:val="22"/>
        </w:rPr>
      </w:pPr>
    </w:p>
    <w:p w14:paraId="21630252" w14:textId="77777777" w:rsidR="006F2E9B" w:rsidRDefault="006F2E9B" w:rsidP="00291D49">
      <w:pPr>
        <w:rPr>
          <w:sz w:val="22"/>
          <w:szCs w:val="22"/>
        </w:rPr>
      </w:pPr>
    </w:p>
    <w:p w14:paraId="6E5CBAA2" w14:textId="77777777" w:rsidR="006F2E9B" w:rsidRDefault="006F2E9B" w:rsidP="00291D49">
      <w:pPr>
        <w:rPr>
          <w:sz w:val="22"/>
          <w:szCs w:val="22"/>
        </w:rPr>
      </w:pPr>
    </w:p>
    <w:p w14:paraId="7670D78D" w14:textId="4792B58A" w:rsidR="006F2E9B" w:rsidRDefault="006F2E9B" w:rsidP="006F2E9B">
      <w:pPr>
        <w:pStyle w:val="Corpodeltesto2"/>
        <w:ind w:left="1418" w:hanging="1418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  <w:u w:val="single"/>
        </w:rPr>
        <w:t>OGGETTO</w:t>
      </w:r>
      <w:r>
        <w:rPr>
          <w:rFonts w:ascii="Comic Sans MS" w:hAnsi="Comic Sans MS"/>
          <w:sz w:val="22"/>
        </w:rPr>
        <w:t>: Approvazione Bilancio di Previsione triennale 20</w:t>
      </w:r>
      <w:r w:rsidR="00B4182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2</w:t>
      </w:r>
      <w:r>
        <w:rPr>
          <w:rFonts w:ascii="Comic Sans MS" w:hAnsi="Comic Sans MS"/>
          <w:sz w:val="22"/>
        </w:rPr>
        <w:t xml:space="preserve"> – 20</w:t>
      </w:r>
      <w:r w:rsidR="000E4F3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 e relativi allegati. </w:t>
      </w:r>
    </w:p>
    <w:p w14:paraId="620A426B" w14:textId="77777777" w:rsidR="006F2E9B" w:rsidRDefault="006F2E9B" w:rsidP="006F2E9B">
      <w:pPr>
        <w:pStyle w:val="Rientrocorpodeltesto"/>
        <w:widowControl w:val="0"/>
        <w:ind w:left="1560" w:hanging="1560"/>
        <w:rPr>
          <w:rFonts w:ascii="Comic Sans MS" w:hAnsi="Comic Sans MS"/>
          <w:sz w:val="22"/>
        </w:rPr>
      </w:pPr>
    </w:p>
    <w:p w14:paraId="3EA2E900" w14:textId="77777777" w:rsidR="006F2E9B" w:rsidRDefault="000E4F36" w:rsidP="00C858ED">
      <w:pPr>
        <w:pStyle w:val="Corpotesto"/>
        <w:widowControl w:val="0"/>
        <w:tabs>
          <w:tab w:val="left" w:pos="284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ind w:left="284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La</w:t>
      </w:r>
      <w:r w:rsidR="006F2E9B">
        <w:rPr>
          <w:rFonts w:ascii="Comic Sans MS" w:hAnsi="Comic Sans MS"/>
          <w:sz w:val="22"/>
        </w:rPr>
        <w:t xml:space="preserve"> sottoscritta </w:t>
      </w:r>
      <w:r w:rsidR="006F2E9B">
        <w:rPr>
          <w:rFonts w:ascii="Comic Sans MS" w:hAnsi="Comic Sans MS"/>
          <w:i/>
          <w:sz w:val="22"/>
        </w:rPr>
        <w:t xml:space="preserve">Dott. </w:t>
      </w:r>
      <w:proofErr w:type="spellStart"/>
      <w:r w:rsidR="00C858ED">
        <w:rPr>
          <w:rFonts w:ascii="Comic Sans MS" w:hAnsi="Comic Sans MS"/>
          <w:i/>
          <w:sz w:val="22"/>
        </w:rPr>
        <w:t>ssa</w:t>
      </w:r>
      <w:proofErr w:type="spellEnd"/>
      <w:r w:rsidR="00C858ED">
        <w:rPr>
          <w:rFonts w:ascii="Comic Sans MS" w:hAnsi="Comic Sans MS"/>
          <w:i/>
          <w:sz w:val="22"/>
        </w:rPr>
        <w:t xml:space="preserve"> Simona </w:t>
      </w:r>
      <w:proofErr w:type="spellStart"/>
      <w:r w:rsidR="00C858ED">
        <w:rPr>
          <w:rFonts w:ascii="Comic Sans MS" w:hAnsi="Comic Sans MS"/>
          <w:i/>
          <w:sz w:val="22"/>
        </w:rPr>
        <w:t>Gibertini</w:t>
      </w:r>
      <w:proofErr w:type="spellEnd"/>
      <w:r w:rsidR="006F2E9B">
        <w:rPr>
          <w:rFonts w:ascii="Comic Sans MS" w:hAnsi="Comic Sans MS"/>
          <w:i/>
          <w:sz w:val="22"/>
        </w:rPr>
        <w:t>,</w:t>
      </w:r>
      <w:r w:rsidR="006F2E9B">
        <w:rPr>
          <w:rFonts w:ascii="Comic Sans MS" w:hAnsi="Comic Sans MS"/>
          <w:sz w:val="22"/>
        </w:rPr>
        <w:t xml:space="preserve"> in qualità di Responsabile del Settore Economico Finanziario, Visti gli schemi, sottoposti all’approvazione della Giunta Municipale nei termini stabiliti dal vigente Regolamento di Contabilità:</w:t>
      </w:r>
    </w:p>
    <w:p w14:paraId="0AD16E95" w14:textId="7E2A3BDA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iCs/>
          <w:sz w:val="22"/>
        </w:rPr>
        <w:t>Bilancio di previsione per il triennio 20</w:t>
      </w:r>
      <w:r w:rsidR="00B41826">
        <w:rPr>
          <w:rFonts w:ascii="Comic Sans MS" w:hAnsi="Comic Sans MS"/>
          <w:i/>
          <w:iCs/>
          <w:sz w:val="22"/>
        </w:rPr>
        <w:t>2</w:t>
      </w:r>
      <w:r w:rsidR="00703F9D">
        <w:rPr>
          <w:rFonts w:ascii="Comic Sans MS" w:hAnsi="Comic Sans MS"/>
          <w:i/>
          <w:iCs/>
          <w:sz w:val="22"/>
        </w:rPr>
        <w:t>2</w:t>
      </w:r>
      <w:r>
        <w:rPr>
          <w:rFonts w:ascii="Comic Sans MS" w:hAnsi="Comic Sans MS"/>
          <w:i/>
          <w:iCs/>
          <w:sz w:val="22"/>
        </w:rPr>
        <w:t>-</w:t>
      </w:r>
      <w:proofErr w:type="gramStart"/>
      <w:r>
        <w:rPr>
          <w:rFonts w:ascii="Comic Sans MS" w:hAnsi="Comic Sans MS"/>
          <w:i/>
          <w:iCs/>
          <w:sz w:val="22"/>
        </w:rPr>
        <w:t>20</w:t>
      </w:r>
      <w:r w:rsidR="000E4F36">
        <w:rPr>
          <w:rFonts w:ascii="Comic Sans MS" w:hAnsi="Comic Sans MS"/>
          <w:i/>
          <w:iCs/>
          <w:sz w:val="22"/>
        </w:rPr>
        <w:t>2</w:t>
      </w:r>
      <w:r w:rsidR="00703F9D">
        <w:rPr>
          <w:rFonts w:ascii="Comic Sans MS" w:hAnsi="Comic Sans MS"/>
          <w:i/>
          <w:iCs/>
          <w:sz w:val="22"/>
        </w:rPr>
        <w:t>4</w:t>
      </w:r>
      <w:r>
        <w:rPr>
          <w:rFonts w:ascii="Comic Sans MS" w:hAnsi="Comic Sans MS"/>
          <w:i/>
          <w:iCs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che</w:t>
      </w:r>
      <w:proofErr w:type="gramEnd"/>
      <w:r>
        <w:rPr>
          <w:rFonts w:ascii="Comic Sans MS" w:hAnsi="Comic Sans MS"/>
          <w:sz w:val="22"/>
        </w:rPr>
        <w:t xml:space="preserve"> è redatto con il rispetto degli equilibri previsti dall’art. 162, comma 6, del Dlgs. 18.08.2000 n.267;</w:t>
      </w:r>
    </w:p>
    <w:p w14:paraId="1F8C0BD8" w14:textId="77777777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sz w:val="22"/>
        </w:rPr>
        <w:t>Documento Unico di Programmazione</w:t>
      </w:r>
      <w:r>
        <w:rPr>
          <w:rFonts w:ascii="Comic Sans MS" w:hAnsi="Comic Sans MS"/>
          <w:sz w:val="22"/>
        </w:rPr>
        <w:t>, predisposti secondo gli indirizzi generali approvati dal Consiglio nell’adunata di insediamento e successivamente confermati ed adeguati;</w:t>
      </w:r>
    </w:p>
    <w:p w14:paraId="5AAF1C68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RILEVATO:</w:t>
      </w:r>
    </w:p>
    <w:p w14:paraId="0AE1B1CD" w14:textId="4C0F332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 il BILANCIO DI PREVISIONE 20</w:t>
      </w:r>
      <w:r w:rsidR="00B4182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2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, redatto secondo il modello approvato con </w:t>
      </w:r>
      <w:proofErr w:type="spellStart"/>
      <w:r>
        <w:rPr>
          <w:rFonts w:ascii="Comic Sans MS" w:hAnsi="Comic Sans MS"/>
          <w:sz w:val="22"/>
        </w:rPr>
        <w:t>D.lgs</w:t>
      </w:r>
      <w:proofErr w:type="spellEnd"/>
      <w:r>
        <w:rPr>
          <w:rFonts w:ascii="Comic Sans MS" w:hAnsi="Comic Sans MS"/>
          <w:sz w:val="22"/>
        </w:rPr>
        <w:t xml:space="preserve"> 118/2011, è stato formato osservando i principi dell'universalità, dell'integrità e del pareggio economico finanziario e degli altri principi previsti dall'art.162 del Dlgs. 18.08.2000 n.267;</w:t>
      </w:r>
    </w:p>
    <w:p w14:paraId="0F6ECE28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Che, per quanto attiene alle previsioni effettuate con il Bilancio predetto, esse sono informate ai seguenti criteri generali:</w:t>
      </w:r>
    </w:p>
    <w:p w14:paraId="28E78F5A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l’osservanza delle norme vigenti, dello statuto e dei regolamenti; </w:t>
      </w:r>
    </w:p>
    <w:p w14:paraId="567339B9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l’osservanza dei princip</w:t>
      </w:r>
      <w:r>
        <w:rPr>
          <w:rFonts w:ascii="Comic Sans MS" w:hAnsi="Comic Sans MS" w:cs="Times New Roman"/>
          <w:color w:val="auto"/>
          <w:sz w:val="22"/>
          <w:szCs w:val="20"/>
        </w:rPr>
        <w:t>i del bilancio e delle modalità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 rappresentative (utilizzo degli schemi di cui al </w:t>
      </w:r>
      <w:proofErr w:type="spellStart"/>
      <w:r>
        <w:rPr>
          <w:rFonts w:ascii="Comic Sans MS" w:hAnsi="Comic Sans MS" w:cs="Times New Roman"/>
          <w:color w:val="auto"/>
          <w:sz w:val="22"/>
          <w:szCs w:val="20"/>
        </w:rPr>
        <w:t>D.lgs</w:t>
      </w:r>
      <w:proofErr w:type="spellEnd"/>
      <w:r>
        <w:rPr>
          <w:rFonts w:ascii="Comic Sans MS" w:hAnsi="Comic Sans MS" w:cs="Times New Roman"/>
          <w:color w:val="auto"/>
          <w:sz w:val="22"/>
          <w:szCs w:val="20"/>
        </w:rPr>
        <w:t xml:space="preserve"> 118/11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); </w:t>
      </w:r>
    </w:p>
    <w:p w14:paraId="1D7A59BB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gli atti fondamentali di programmazione e gestione (coerenza interna); </w:t>
      </w:r>
    </w:p>
    <w:p w14:paraId="79D12782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la programmazione regionale e gli obiettivi di finanza pubblica (coerenza esterna); </w:t>
      </w:r>
    </w:p>
    <w:p w14:paraId="67E5987D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il rispetto del pareggio finanziario e degli altri equilibri finanziari complessivi; </w:t>
      </w:r>
    </w:p>
    <w:p w14:paraId="6E17F3C3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attendibilità delle previsioni di entrata e</w:t>
      </w:r>
      <w:r>
        <w:rPr>
          <w:rFonts w:ascii="Comic Sans MS" w:hAnsi="Comic Sans MS" w:cs="Times New Roman"/>
          <w:color w:val="auto"/>
          <w:sz w:val="22"/>
          <w:szCs w:val="20"/>
        </w:rPr>
        <w:t xml:space="preserve"> congruità delle previsioni di 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spesa. </w:t>
      </w:r>
    </w:p>
    <w:p w14:paraId="27EF5F73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Che, in particolare, per quanto concerne la </w:t>
      </w:r>
      <w:r w:rsidRPr="006D4838">
        <w:rPr>
          <w:rFonts w:ascii="Comic Sans MS" w:hAnsi="Comic Sans MS"/>
          <w:sz w:val="22"/>
          <w:u w:val="single"/>
        </w:rPr>
        <w:t>coerenza interna</w:t>
      </w:r>
      <w:r>
        <w:rPr>
          <w:rFonts w:ascii="Comic Sans MS" w:hAnsi="Comic Sans MS"/>
          <w:sz w:val="22"/>
        </w:rPr>
        <w:t>, gli stanziamenti sono conformi ai seguenti atti di programmazione:</w:t>
      </w:r>
    </w:p>
    <w:p w14:paraId="252D8FE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linee programmatiche; </w:t>
      </w:r>
    </w:p>
    <w:p w14:paraId="5FF74612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piano generale di sviluppo dell’ente;  </w:t>
      </w:r>
    </w:p>
    <w:p w14:paraId="2C480B9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 triennale ed ele</w:t>
      </w:r>
      <w:r>
        <w:rPr>
          <w:rFonts w:ascii="Comic Sans MS" w:hAnsi="Comic Sans MS" w:cs="Times New Roman"/>
          <w:color w:val="auto"/>
          <w:sz w:val="22"/>
          <w:szCs w:val="20"/>
        </w:rPr>
        <w:t>nco annuale dei lavori pubblici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 di cui al d.lgs.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 xml:space="preserve"> 50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/20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6 art.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21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;  </w:t>
      </w:r>
    </w:p>
    <w:p w14:paraId="62F24F2A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programmazione triennale del fabbisogno di personale (art. 91 dlgs.267/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2000, art. 35, comma 4 d.lgs.165/2001 e art. 19, comma 8 legge 448/2001); </w:t>
      </w:r>
    </w:p>
    <w:p w14:paraId="04D3E2E4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>piano delle alienazioni e valorizzazioni del patrimonio immobilia</w:t>
      </w:r>
      <w:r>
        <w:rPr>
          <w:rFonts w:ascii="Comic Sans MS" w:hAnsi="Comic Sans MS" w:cs="Times New Roman"/>
          <w:color w:val="auto"/>
          <w:sz w:val="22"/>
          <w:szCs w:val="20"/>
        </w:rPr>
        <w:t>re (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art.58 della legge 133/08); </w:t>
      </w:r>
    </w:p>
    <w:p w14:paraId="4FB3F621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strumenti urbanistici e relativi piani di attuazione; </w:t>
      </w:r>
    </w:p>
    <w:p w14:paraId="45F63DC2" w14:textId="77777777" w:rsidR="006F2E9B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>
        <w:rPr>
          <w:rFonts w:ascii="Comic Sans MS" w:hAnsi="Comic Sans MS" w:cs="Times New Roman"/>
          <w:color w:val="auto"/>
          <w:sz w:val="22"/>
          <w:szCs w:val="20"/>
        </w:rPr>
        <w:t>Documento Unico di Programmazione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. </w:t>
      </w:r>
    </w:p>
    <w:p w14:paraId="12AC194A" w14:textId="77777777" w:rsidR="006F2E9B" w:rsidRDefault="006F2E9B" w:rsidP="006F2E9B">
      <w:pPr>
        <w:pStyle w:val="Default"/>
        <w:ind w:left="284"/>
        <w:jc w:val="both"/>
        <w:rPr>
          <w:rFonts w:ascii="Comic Sans MS" w:hAnsi="Comic Sans MS" w:cs="Times New Roman"/>
          <w:color w:val="auto"/>
          <w:sz w:val="22"/>
          <w:szCs w:val="20"/>
        </w:rPr>
      </w:pPr>
    </w:p>
    <w:p w14:paraId="6F52EF3E" w14:textId="77777777" w:rsidR="006F2E9B" w:rsidRPr="00F13EDE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 w:rsidRPr="00F13EDE">
        <w:rPr>
          <w:rFonts w:ascii="Comic Sans MS" w:hAnsi="Comic Sans MS"/>
          <w:sz w:val="22"/>
        </w:rPr>
        <w:t xml:space="preserve">Che, in particolare, per quanto concerne la </w:t>
      </w:r>
      <w:r w:rsidRPr="00F13EDE">
        <w:rPr>
          <w:rFonts w:ascii="Comic Sans MS" w:hAnsi="Comic Sans MS"/>
          <w:sz w:val="22"/>
          <w:u w:val="single"/>
        </w:rPr>
        <w:t>coerenza esterna</w:t>
      </w:r>
      <w:r w:rsidRPr="00F13EDE">
        <w:rPr>
          <w:rFonts w:ascii="Comic Sans MS" w:hAnsi="Comic Sans MS"/>
          <w:sz w:val="22"/>
        </w:rPr>
        <w:t>, le previsioni sono tali da rendere compatibile quanto stanziato con le disposizioni concernenti il PAREGGIO FINANZIARIO DI BILANCIO dall’art. commi da 707 a 729 della Legge 208/2015;</w:t>
      </w:r>
    </w:p>
    <w:p w14:paraId="5BB102AD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 </w:t>
      </w:r>
      <w:r w:rsidR="00B41826">
        <w:rPr>
          <w:rFonts w:ascii="Comic Sans MS" w:hAnsi="Comic Sans MS"/>
          <w:sz w:val="22"/>
        </w:rPr>
        <w:t>l</w:t>
      </w:r>
      <w:r w:rsidRPr="002B01E3">
        <w:rPr>
          <w:rFonts w:ascii="Comic Sans MS" w:hAnsi="Comic Sans MS"/>
          <w:sz w:val="22"/>
        </w:rPr>
        <w:t xml:space="preserve">a </w:t>
      </w:r>
      <w:r w:rsidRPr="002B01E3">
        <w:rPr>
          <w:rFonts w:ascii="Comic Sans MS" w:hAnsi="Comic Sans MS"/>
          <w:sz w:val="22"/>
          <w:u w:val="single"/>
        </w:rPr>
        <w:t>congruità e la compatibilità</w:t>
      </w:r>
      <w:r w:rsidRPr="002B01E3">
        <w:rPr>
          <w:rFonts w:ascii="Comic Sans MS" w:hAnsi="Comic Sans MS"/>
          <w:sz w:val="22"/>
        </w:rPr>
        <w:t xml:space="preserve"> delle previsioni di </w:t>
      </w:r>
      <w:r>
        <w:rPr>
          <w:rFonts w:ascii="Comic Sans MS" w:hAnsi="Comic Sans MS"/>
          <w:sz w:val="22"/>
        </w:rPr>
        <w:t xml:space="preserve">entrata deriva dal grado di </w:t>
      </w:r>
      <w:r w:rsidRPr="002B01E3">
        <w:rPr>
          <w:rFonts w:ascii="Comic Sans MS" w:hAnsi="Comic Sans MS"/>
          <w:sz w:val="22"/>
        </w:rPr>
        <w:t xml:space="preserve">accertabilità ed esigibilità delle previsioni di entrata </w:t>
      </w:r>
      <w:r>
        <w:rPr>
          <w:rFonts w:ascii="Comic Sans MS" w:hAnsi="Comic Sans MS"/>
          <w:sz w:val="22"/>
        </w:rPr>
        <w:t xml:space="preserve">mentre l’attendibilità delle previsioni di </w:t>
      </w:r>
      <w:r w:rsidRPr="002B01E3">
        <w:rPr>
          <w:rFonts w:ascii="Comic Sans MS" w:hAnsi="Comic Sans MS"/>
          <w:sz w:val="22"/>
        </w:rPr>
        <w:t xml:space="preserve">spesa deriva </w:t>
      </w:r>
      <w:r>
        <w:rPr>
          <w:rFonts w:ascii="Comic Sans MS" w:hAnsi="Comic Sans MS"/>
          <w:sz w:val="22"/>
        </w:rPr>
        <w:t>dal rispetto delle disposizioni di</w:t>
      </w:r>
      <w:r w:rsidRPr="002B01E3">
        <w:rPr>
          <w:rFonts w:ascii="Comic Sans MS" w:hAnsi="Comic Sans MS"/>
          <w:sz w:val="22"/>
        </w:rPr>
        <w:t xml:space="preserve"> legg</w:t>
      </w:r>
      <w:r>
        <w:rPr>
          <w:rFonts w:ascii="Comic Sans MS" w:hAnsi="Comic Sans MS"/>
          <w:sz w:val="22"/>
        </w:rPr>
        <w:t>e</w:t>
      </w:r>
      <w:r w:rsidRPr="002B01E3">
        <w:rPr>
          <w:rFonts w:ascii="Comic Sans MS" w:hAnsi="Comic Sans MS"/>
          <w:sz w:val="22"/>
        </w:rPr>
        <w:t xml:space="preserve">, </w:t>
      </w:r>
      <w:r>
        <w:rPr>
          <w:rFonts w:ascii="Comic Sans MS" w:hAnsi="Comic Sans MS"/>
          <w:sz w:val="22"/>
        </w:rPr>
        <w:t xml:space="preserve">dei vincoli posti da </w:t>
      </w:r>
      <w:r w:rsidRPr="002B01E3">
        <w:rPr>
          <w:rFonts w:ascii="Comic Sans MS" w:hAnsi="Comic Sans MS"/>
          <w:sz w:val="22"/>
        </w:rPr>
        <w:t>contratti e decisioni assunte che producono effetti sul pe</w:t>
      </w:r>
      <w:r>
        <w:rPr>
          <w:rFonts w:ascii="Comic Sans MS" w:hAnsi="Comic Sans MS"/>
          <w:sz w:val="22"/>
        </w:rPr>
        <w:t>riodo del bilancio autorizzato,</w:t>
      </w:r>
      <w:r w:rsidRPr="002B01E3">
        <w:rPr>
          <w:rFonts w:ascii="Comic Sans MS" w:hAnsi="Comic Sans MS"/>
          <w:sz w:val="22"/>
        </w:rPr>
        <w:t xml:space="preserve"> al fine di mantenere</w:t>
      </w:r>
      <w:r>
        <w:rPr>
          <w:rFonts w:ascii="Comic Sans MS" w:hAnsi="Comic Sans MS"/>
          <w:sz w:val="22"/>
        </w:rPr>
        <w:t xml:space="preserve"> </w:t>
      </w:r>
      <w:r w:rsidRPr="002B01E3">
        <w:rPr>
          <w:rFonts w:ascii="Comic Sans MS" w:hAnsi="Comic Sans MS"/>
          <w:sz w:val="22"/>
        </w:rPr>
        <w:t>in equilibrio la g</w:t>
      </w:r>
      <w:r>
        <w:rPr>
          <w:rFonts w:ascii="Comic Sans MS" w:hAnsi="Comic Sans MS"/>
          <w:sz w:val="22"/>
        </w:rPr>
        <w:t>estione; in particolare:</w:t>
      </w:r>
    </w:p>
    <w:p w14:paraId="30C08914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</w:p>
    <w:p w14:paraId="6557A31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ATTESTA</w:t>
      </w:r>
    </w:p>
    <w:p w14:paraId="6E19DAD0" w14:textId="4AD537AF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ai sensi e per gli effetti dell’art.153, quarto comma, del Dlgs. 18.08.2000 n.267, la veridicità delle previsioni di entrata e la compatibilità delle previsioni di spesa iscritte nel Bilancio di previsione 20</w:t>
      </w:r>
      <w:r w:rsidR="00B4182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2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703F9D">
        <w:rPr>
          <w:rFonts w:ascii="Comic Sans MS" w:hAnsi="Comic Sans MS"/>
          <w:sz w:val="22"/>
        </w:rPr>
        <w:t>4</w:t>
      </w:r>
      <w:r>
        <w:rPr>
          <w:rFonts w:ascii="Comic Sans MS" w:hAnsi="Comic Sans MS"/>
          <w:sz w:val="22"/>
        </w:rPr>
        <w:t xml:space="preserve"> nonché la coerenza delle previsioni annuali e pluriennali con vincolo del pareggio di bilancio.</w:t>
      </w:r>
    </w:p>
    <w:p w14:paraId="70EC55B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</w:p>
    <w:p w14:paraId="35A267B7" w14:textId="6FDFFF5E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 w:rsidRPr="007D6518">
        <w:rPr>
          <w:rFonts w:ascii="Comic Sans MS" w:hAnsi="Comic Sans MS"/>
          <w:sz w:val="22"/>
        </w:rPr>
        <w:t>Marcaria</w:t>
      </w:r>
      <w:r w:rsidR="00527DF2" w:rsidRPr="007D6518">
        <w:rPr>
          <w:rFonts w:ascii="Comic Sans MS" w:hAnsi="Comic Sans MS"/>
          <w:sz w:val="22"/>
        </w:rPr>
        <w:t>,</w:t>
      </w:r>
      <w:r w:rsidRPr="007D6518">
        <w:rPr>
          <w:rFonts w:ascii="Comic Sans MS" w:hAnsi="Comic Sans MS"/>
          <w:sz w:val="22"/>
        </w:rPr>
        <w:t xml:space="preserve"> </w:t>
      </w:r>
      <w:r w:rsidR="007D6518" w:rsidRPr="007D6518">
        <w:rPr>
          <w:rFonts w:ascii="Comic Sans MS" w:hAnsi="Comic Sans MS"/>
          <w:sz w:val="22"/>
        </w:rPr>
        <w:t>22</w:t>
      </w:r>
      <w:r w:rsidRPr="007D6518">
        <w:rPr>
          <w:rFonts w:ascii="Comic Sans MS" w:hAnsi="Comic Sans MS"/>
          <w:sz w:val="22"/>
        </w:rPr>
        <w:t>/</w:t>
      </w:r>
      <w:r w:rsidR="00527DF2" w:rsidRPr="007D6518">
        <w:rPr>
          <w:rFonts w:ascii="Comic Sans MS" w:hAnsi="Comic Sans MS"/>
          <w:sz w:val="22"/>
        </w:rPr>
        <w:t>1</w:t>
      </w:r>
      <w:r w:rsidR="006C7EB2" w:rsidRPr="007D6518">
        <w:rPr>
          <w:rFonts w:ascii="Comic Sans MS" w:hAnsi="Comic Sans MS"/>
          <w:sz w:val="22"/>
        </w:rPr>
        <w:t>1</w:t>
      </w:r>
      <w:r w:rsidRPr="007D6518">
        <w:rPr>
          <w:rFonts w:ascii="Comic Sans MS" w:hAnsi="Comic Sans MS"/>
          <w:sz w:val="22"/>
        </w:rPr>
        <w:t>/</w:t>
      </w:r>
      <w:r w:rsidR="00855538" w:rsidRPr="007D6518">
        <w:rPr>
          <w:rFonts w:ascii="Comic Sans MS" w:hAnsi="Comic Sans MS"/>
          <w:sz w:val="22"/>
        </w:rPr>
        <w:t>20</w:t>
      </w:r>
      <w:r w:rsidR="00E24FB6" w:rsidRPr="007D6518">
        <w:rPr>
          <w:rFonts w:ascii="Comic Sans MS" w:hAnsi="Comic Sans MS"/>
          <w:sz w:val="22"/>
        </w:rPr>
        <w:t>2</w:t>
      </w:r>
      <w:r w:rsidR="00703F9D" w:rsidRPr="007D6518">
        <w:rPr>
          <w:rFonts w:ascii="Comic Sans MS" w:hAnsi="Comic Sans MS"/>
          <w:sz w:val="22"/>
        </w:rPr>
        <w:t>1</w:t>
      </w:r>
    </w:p>
    <w:p w14:paraId="32719D8A" w14:textId="77777777" w:rsidR="006F2E9B" w:rsidRDefault="006F2E9B" w:rsidP="006F2E9B">
      <w:pPr>
        <w:pStyle w:val="Rientrocorpodeltesto2"/>
        <w:spacing w:before="60" w:after="60"/>
        <w:ind w:left="5664"/>
        <w:jc w:val="center"/>
        <w:rPr>
          <w:rFonts w:ascii="Comic Sans MS" w:hAnsi="Comic Sans MS"/>
          <w:sz w:val="22"/>
        </w:rPr>
      </w:pPr>
    </w:p>
    <w:p w14:paraId="4BB58A9A" w14:textId="77777777" w:rsidR="006F2E9B" w:rsidRDefault="006F2E9B" w:rsidP="006F2E9B">
      <w:pPr>
        <w:jc w:val="right"/>
      </w:pPr>
      <w:r>
        <w:rPr>
          <w:rFonts w:ascii="Comic Sans MS" w:hAnsi="Comic Sans MS"/>
          <w:sz w:val="22"/>
        </w:rPr>
        <w:t xml:space="preserve">IL RESPONSABILE DI SETTORE </w:t>
      </w:r>
      <w:r>
        <w:rPr>
          <w:rFonts w:ascii="Comic Sans MS" w:hAnsi="Comic Sans MS"/>
          <w:i/>
          <w:sz w:val="22"/>
        </w:rPr>
        <w:t xml:space="preserve">       </w:t>
      </w:r>
    </w:p>
    <w:p w14:paraId="0E931D20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="00527DF2">
        <w:rPr>
          <w:rFonts w:ascii="Comic Sans MS" w:hAnsi="Comic Sans MS"/>
          <w:sz w:val="22"/>
        </w:rPr>
        <w:t>F.</w:t>
      </w:r>
      <w:proofErr w:type="gramStart"/>
      <w:r w:rsidR="00527DF2">
        <w:rPr>
          <w:rFonts w:ascii="Comic Sans MS" w:hAnsi="Comic Sans MS"/>
          <w:sz w:val="22"/>
        </w:rPr>
        <w:t xml:space="preserve">to  </w:t>
      </w:r>
      <w:r w:rsidR="000E4F36">
        <w:rPr>
          <w:rFonts w:ascii="Comic Sans MS" w:hAnsi="Comic Sans MS"/>
          <w:sz w:val="22"/>
        </w:rPr>
        <w:t>Dott.ssa</w:t>
      </w:r>
      <w:proofErr w:type="gramEnd"/>
      <w:r w:rsidR="000E4F36">
        <w:rPr>
          <w:rFonts w:ascii="Comic Sans MS" w:hAnsi="Comic Sans MS"/>
          <w:sz w:val="22"/>
        </w:rPr>
        <w:t xml:space="preserve"> </w:t>
      </w:r>
      <w:r w:rsidR="00C858ED">
        <w:rPr>
          <w:rFonts w:ascii="Comic Sans MS" w:hAnsi="Comic Sans MS"/>
          <w:sz w:val="22"/>
        </w:rPr>
        <w:t xml:space="preserve">Simona </w:t>
      </w:r>
      <w:proofErr w:type="spellStart"/>
      <w:r w:rsidR="00C858ED">
        <w:rPr>
          <w:rFonts w:ascii="Comic Sans MS" w:hAnsi="Comic Sans MS"/>
          <w:sz w:val="22"/>
        </w:rPr>
        <w:t>Gibertini</w:t>
      </w:r>
      <w:proofErr w:type="spellEnd"/>
    </w:p>
    <w:p w14:paraId="3CD10CAC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</w:p>
    <w:p w14:paraId="3ADFF73B" w14:textId="77777777" w:rsidR="006F2E9B" w:rsidRDefault="006F2E9B" w:rsidP="006F2E9B"/>
    <w:p w14:paraId="3D1C569E" w14:textId="77777777" w:rsidR="006F2E9B" w:rsidRDefault="006F2E9B" w:rsidP="006F2E9B"/>
    <w:p w14:paraId="0333D07B" w14:textId="77777777" w:rsidR="006F2E9B" w:rsidRDefault="006F2E9B" w:rsidP="006F2E9B"/>
    <w:p w14:paraId="75D1B36E" w14:textId="77777777" w:rsidR="006F2E9B" w:rsidRDefault="006F2E9B" w:rsidP="006F2E9B"/>
    <w:p w14:paraId="08DD7E60" w14:textId="77777777" w:rsidR="006F2E9B" w:rsidRDefault="006F2E9B" w:rsidP="006F2E9B"/>
    <w:p w14:paraId="3445D336" w14:textId="77777777" w:rsidR="006F2E9B" w:rsidRDefault="006F2E9B" w:rsidP="006F2E9B"/>
    <w:p w14:paraId="75C48A24" w14:textId="77777777" w:rsidR="006F2E9B" w:rsidRDefault="006F2E9B" w:rsidP="006F2E9B"/>
    <w:p w14:paraId="0FF48AE1" w14:textId="77777777" w:rsidR="006F2E9B" w:rsidRDefault="006F2E9B" w:rsidP="00291D49">
      <w:pPr>
        <w:rPr>
          <w:sz w:val="22"/>
          <w:szCs w:val="22"/>
        </w:rPr>
      </w:pPr>
    </w:p>
    <w:p w14:paraId="3380A0B2" w14:textId="77777777" w:rsidR="006F2957" w:rsidRDefault="006F2957" w:rsidP="00291D49">
      <w:pPr>
        <w:rPr>
          <w:sz w:val="22"/>
          <w:szCs w:val="22"/>
        </w:rPr>
      </w:pPr>
    </w:p>
    <w:p w14:paraId="68A1A707" w14:textId="77777777" w:rsidR="006F2957" w:rsidRDefault="006F2957" w:rsidP="00291D49">
      <w:pPr>
        <w:rPr>
          <w:sz w:val="22"/>
          <w:szCs w:val="22"/>
        </w:rPr>
      </w:pPr>
    </w:p>
    <w:p w14:paraId="1C9193A2" w14:textId="77777777" w:rsidR="006F2957" w:rsidRDefault="006F2957" w:rsidP="00291D49">
      <w:pPr>
        <w:rPr>
          <w:sz w:val="22"/>
          <w:szCs w:val="22"/>
        </w:rPr>
      </w:pPr>
    </w:p>
    <w:p w14:paraId="17D96A65" w14:textId="77777777" w:rsidR="006F2957" w:rsidRPr="006F2957" w:rsidRDefault="006F2957" w:rsidP="006F295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 w:rsidR="004B3D2E">
        <w:rPr>
          <w:sz w:val="36"/>
          <w:szCs w:val="36"/>
        </w:rPr>
        <w:t xml:space="preserve">                               </w:t>
      </w:r>
    </w:p>
    <w:sectPr w:rsidR="006F2957" w:rsidRPr="006F2957" w:rsidSect="002D6377">
      <w:headerReference w:type="default" r:id="rId7"/>
      <w:footerReference w:type="even" r:id="rId8"/>
      <w:footerReference w:type="default" r:id="rId9"/>
      <w:pgSz w:w="11906" w:h="16838"/>
      <w:pgMar w:top="2977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3F52" w14:textId="77777777" w:rsidR="00294943" w:rsidRDefault="00294943">
      <w:r>
        <w:separator/>
      </w:r>
    </w:p>
  </w:endnote>
  <w:endnote w:type="continuationSeparator" w:id="0">
    <w:p w14:paraId="7F832131" w14:textId="77777777" w:rsidR="00294943" w:rsidRDefault="002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10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3B4328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912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542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3DB2C0E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758B" w14:textId="77777777" w:rsidR="00294943" w:rsidRDefault="00294943">
      <w:r>
        <w:separator/>
      </w:r>
    </w:p>
  </w:footnote>
  <w:footnote w:type="continuationSeparator" w:id="0">
    <w:p w14:paraId="58C3AAC6" w14:textId="77777777" w:rsidR="00294943" w:rsidRDefault="0029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334" w14:textId="77777777" w:rsidR="00A14CFA" w:rsidRDefault="006F2E9B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FA65C80" wp14:editId="4C376E32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546BA40F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4081A6B2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48E4E3F0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10094FE6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504AD8A3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 xml:space="preserve">Via F. Crispi, 81 – </w:t>
    </w:r>
    <w:proofErr w:type="spellStart"/>
    <w:r w:rsidRPr="00095D1E">
      <w:rPr>
        <w:rFonts w:ascii="Verdana" w:hAnsi="Verdana"/>
        <w:i/>
        <w:sz w:val="16"/>
        <w:szCs w:val="16"/>
      </w:rPr>
      <w:t>cap</w:t>
    </w:r>
    <w:proofErr w:type="spellEnd"/>
    <w:r w:rsidRPr="00095D1E">
      <w:rPr>
        <w:rFonts w:ascii="Verdana" w:hAnsi="Verdana"/>
        <w:i/>
        <w:sz w:val="16"/>
        <w:szCs w:val="16"/>
      </w:rPr>
      <w:t xml:space="preserve">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03191"/>
    <w:multiLevelType w:val="singleLevel"/>
    <w:tmpl w:val="B610F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6415B9"/>
    <w:multiLevelType w:val="singleLevel"/>
    <w:tmpl w:val="CBA890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6060A11"/>
    <w:multiLevelType w:val="hybridMultilevel"/>
    <w:tmpl w:val="BCA6A764"/>
    <w:lvl w:ilvl="0" w:tplc="32E02368">
      <w:start w:val="1"/>
      <w:numFmt w:val="bullet"/>
      <w:lvlText w:val=""/>
      <w:lvlJc w:val="left"/>
      <w:pPr>
        <w:tabs>
          <w:tab w:val="num" w:pos="624"/>
        </w:tabs>
        <w:ind w:left="680" w:hanging="396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95578A"/>
    <w:multiLevelType w:val="hybridMultilevel"/>
    <w:tmpl w:val="1B329F6A"/>
    <w:lvl w:ilvl="0" w:tplc="BF4ECE0A">
      <w:start w:val="1"/>
      <w:numFmt w:val="bullet"/>
      <w:lvlText w:val="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24"/>
  </w:num>
  <w:num w:numId="7">
    <w:abstractNumId w:val="22"/>
  </w:num>
  <w:num w:numId="8">
    <w:abstractNumId w:val="15"/>
    <w:lvlOverride w:ilvl="0">
      <w:startOverride w:val="1"/>
    </w:lvlOverride>
  </w:num>
  <w:num w:numId="9">
    <w:abstractNumId w:val="3"/>
  </w:num>
  <w:num w:numId="10">
    <w:abstractNumId w:val="12"/>
  </w:num>
  <w:num w:numId="11">
    <w:abstractNumId w:val="20"/>
  </w:num>
  <w:num w:numId="12">
    <w:abstractNumId w:val="28"/>
  </w:num>
  <w:num w:numId="13">
    <w:abstractNumId w:val="17"/>
  </w:num>
  <w:num w:numId="14">
    <w:abstractNumId w:val="13"/>
  </w:num>
  <w:num w:numId="15">
    <w:abstractNumId w:val="21"/>
  </w:num>
  <w:num w:numId="16">
    <w:abstractNumId w:val="4"/>
  </w:num>
  <w:num w:numId="17">
    <w:abstractNumId w:val="23"/>
  </w:num>
  <w:num w:numId="18">
    <w:abstractNumId w:val="19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7"/>
    <w:lvlOverride w:ilvl="0">
      <w:startOverride w:val="1"/>
    </w:lvlOverride>
  </w:num>
  <w:num w:numId="23">
    <w:abstractNumId w:val="2"/>
    <w:lvlOverride w:ilvl="0">
      <w:startOverride w:val="6"/>
    </w:lvlOverride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6"/>
  </w:num>
  <w:num w:numId="28">
    <w:abstractNumId w:val="2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B229F"/>
    <w:rsid w:val="000C278F"/>
    <w:rsid w:val="000C3ED1"/>
    <w:rsid w:val="000C48F0"/>
    <w:rsid w:val="000D2707"/>
    <w:rsid w:val="000E4F36"/>
    <w:rsid w:val="001159D1"/>
    <w:rsid w:val="00121BA7"/>
    <w:rsid w:val="001E2962"/>
    <w:rsid w:val="001E6ED2"/>
    <w:rsid w:val="002127B2"/>
    <w:rsid w:val="002452F0"/>
    <w:rsid w:val="00291D49"/>
    <w:rsid w:val="00294943"/>
    <w:rsid w:val="002D6377"/>
    <w:rsid w:val="00312527"/>
    <w:rsid w:val="0031566D"/>
    <w:rsid w:val="003323DE"/>
    <w:rsid w:val="00352807"/>
    <w:rsid w:val="00363B98"/>
    <w:rsid w:val="003807AB"/>
    <w:rsid w:val="00393588"/>
    <w:rsid w:val="00397EF8"/>
    <w:rsid w:val="003A4798"/>
    <w:rsid w:val="00425F98"/>
    <w:rsid w:val="0043674D"/>
    <w:rsid w:val="00442E35"/>
    <w:rsid w:val="004504A8"/>
    <w:rsid w:val="00453F54"/>
    <w:rsid w:val="004B0597"/>
    <w:rsid w:val="004B3D2E"/>
    <w:rsid w:val="004B7050"/>
    <w:rsid w:val="004C04DE"/>
    <w:rsid w:val="004C5CB3"/>
    <w:rsid w:val="00506A89"/>
    <w:rsid w:val="00527DF2"/>
    <w:rsid w:val="0053674B"/>
    <w:rsid w:val="00642308"/>
    <w:rsid w:val="006C7EB2"/>
    <w:rsid w:val="006F2957"/>
    <w:rsid w:val="006F2E9B"/>
    <w:rsid w:val="00703F9D"/>
    <w:rsid w:val="00743A5A"/>
    <w:rsid w:val="00762E3F"/>
    <w:rsid w:val="0076360B"/>
    <w:rsid w:val="007A0C48"/>
    <w:rsid w:val="007B16E3"/>
    <w:rsid w:val="007D6518"/>
    <w:rsid w:val="00800430"/>
    <w:rsid w:val="0081030F"/>
    <w:rsid w:val="0085162B"/>
    <w:rsid w:val="00855538"/>
    <w:rsid w:val="0089201A"/>
    <w:rsid w:val="008A2E3C"/>
    <w:rsid w:val="008A4E0B"/>
    <w:rsid w:val="009150B3"/>
    <w:rsid w:val="0091757E"/>
    <w:rsid w:val="00965782"/>
    <w:rsid w:val="00970FBD"/>
    <w:rsid w:val="009D0F2B"/>
    <w:rsid w:val="009E40BB"/>
    <w:rsid w:val="00A0329C"/>
    <w:rsid w:val="00A14CFA"/>
    <w:rsid w:val="00A15BDF"/>
    <w:rsid w:val="00A22C2E"/>
    <w:rsid w:val="00A954EB"/>
    <w:rsid w:val="00AB10F6"/>
    <w:rsid w:val="00AC5717"/>
    <w:rsid w:val="00B41826"/>
    <w:rsid w:val="00B6401D"/>
    <w:rsid w:val="00BF191F"/>
    <w:rsid w:val="00C552D8"/>
    <w:rsid w:val="00C858ED"/>
    <w:rsid w:val="00C95915"/>
    <w:rsid w:val="00CA542E"/>
    <w:rsid w:val="00CF0E0A"/>
    <w:rsid w:val="00D97D48"/>
    <w:rsid w:val="00DA3855"/>
    <w:rsid w:val="00DA6B04"/>
    <w:rsid w:val="00DF3DB4"/>
    <w:rsid w:val="00DF476A"/>
    <w:rsid w:val="00E02C8A"/>
    <w:rsid w:val="00E24FB6"/>
    <w:rsid w:val="00E42DEF"/>
    <w:rsid w:val="00EA45D3"/>
    <w:rsid w:val="00ED217C"/>
    <w:rsid w:val="00ED76B7"/>
    <w:rsid w:val="00F670C6"/>
    <w:rsid w:val="00F8156B"/>
    <w:rsid w:val="00F90A3D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E3526"/>
  <w15:chartTrackingRefBased/>
  <w15:docId w15:val="{C07C4718-1BEF-49D8-AE55-BE17582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customStyle="1" w:styleId="Default">
    <w:name w:val="Default"/>
    <w:rsid w:val="006F2E9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2</cp:revision>
  <cp:lastPrinted>2021-11-23T08:52:00Z</cp:lastPrinted>
  <dcterms:created xsi:type="dcterms:W3CDTF">2021-11-23T08:52:00Z</dcterms:created>
  <dcterms:modified xsi:type="dcterms:W3CDTF">2021-11-23T08:52:00Z</dcterms:modified>
</cp:coreProperties>
</file>